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88" w:rsidRDefault="000D3288">
      <w:pPr>
        <w:pStyle w:val="ConsPlusTitlePage"/>
      </w:pPr>
      <w:r>
        <w:t xml:space="preserve">Документ предоставлен </w:t>
      </w:r>
      <w:hyperlink r:id="rId4" w:history="1">
        <w:r>
          <w:rPr>
            <w:color w:val="0000FF"/>
          </w:rPr>
          <w:t>КонсультантПлюс</w:t>
        </w:r>
      </w:hyperlink>
      <w:r>
        <w:br/>
      </w:r>
    </w:p>
    <w:p w:rsidR="000D3288" w:rsidRDefault="000D3288">
      <w:pPr>
        <w:pStyle w:val="ConsPlusNormal"/>
        <w:jc w:val="both"/>
        <w:outlineLvl w:val="0"/>
      </w:pPr>
    </w:p>
    <w:p w:rsidR="000D3288" w:rsidRDefault="000D3288">
      <w:pPr>
        <w:pStyle w:val="ConsPlusTitle"/>
        <w:jc w:val="center"/>
      </w:pPr>
      <w:r>
        <w:t>МИНИСТЕРСТВО ФИНАНСОВ РОССИЙСКОЙ ФЕДЕРАЦИИ</w:t>
      </w:r>
    </w:p>
    <w:p w:rsidR="000D3288" w:rsidRDefault="000D3288">
      <w:pPr>
        <w:pStyle w:val="ConsPlusTitle"/>
        <w:jc w:val="center"/>
      </w:pPr>
    </w:p>
    <w:p w:rsidR="000D3288" w:rsidRDefault="000D3288">
      <w:pPr>
        <w:pStyle w:val="ConsPlusTitle"/>
        <w:jc w:val="center"/>
      </w:pPr>
      <w:r>
        <w:t>ФЕДЕРАЛЬНАЯ НАЛОГОВАЯ СЛУЖБА</w:t>
      </w:r>
    </w:p>
    <w:p w:rsidR="000D3288" w:rsidRDefault="000D3288">
      <w:pPr>
        <w:pStyle w:val="ConsPlusTitle"/>
        <w:jc w:val="center"/>
      </w:pPr>
    </w:p>
    <w:p w:rsidR="000D3288" w:rsidRDefault="000D3288">
      <w:pPr>
        <w:pStyle w:val="ConsPlusTitle"/>
        <w:jc w:val="center"/>
      </w:pPr>
      <w:r>
        <w:t>ПИСЬМО</w:t>
      </w:r>
    </w:p>
    <w:p w:rsidR="000D3288" w:rsidRDefault="000D3288">
      <w:pPr>
        <w:pStyle w:val="ConsPlusTitle"/>
        <w:jc w:val="center"/>
      </w:pPr>
      <w:r>
        <w:t>от 9 апреля 2020 г. N СД-4-2/5985@</w:t>
      </w:r>
    </w:p>
    <w:p w:rsidR="000D3288" w:rsidRDefault="000D3288">
      <w:pPr>
        <w:pStyle w:val="ConsPlusTitle"/>
        <w:jc w:val="center"/>
      </w:pPr>
    </w:p>
    <w:p w:rsidR="000D3288" w:rsidRDefault="000D3288">
      <w:pPr>
        <w:pStyle w:val="ConsPlusTitle"/>
        <w:jc w:val="center"/>
      </w:pPr>
      <w:r>
        <w:t>О ПОСТАНОВЛЕНИИ</w:t>
      </w:r>
    </w:p>
    <w:p w:rsidR="000D3288" w:rsidRDefault="000D3288">
      <w:pPr>
        <w:pStyle w:val="ConsPlusTitle"/>
        <w:jc w:val="center"/>
      </w:pPr>
      <w:r>
        <w:t>ПРАВИТЕЛЬСТВА РОССИЙСКОЙ ФЕДЕРАЦИИ ОТ 02.04.2020 N 409</w:t>
      </w:r>
    </w:p>
    <w:p w:rsidR="000D3288" w:rsidRDefault="000D3288">
      <w:pPr>
        <w:pStyle w:val="ConsPlusNormal"/>
        <w:ind w:firstLine="540"/>
        <w:jc w:val="both"/>
      </w:pPr>
    </w:p>
    <w:p w:rsidR="000D3288" w:rsidRDefault="000D3288">
      <w:pPr>
        <w:pStyle w:val="ConsPlusNormal"/>
        <w:ind w:firstLine="540"/>
        <w:jc w:val="both"/>
      </w:pPr>
      <w:r>
        <w:t xml:space="preserve">Федеральная налоговая служба в связи с </w:t>
      </w:r>
      <w:hyperlink r:id="rId5" w:history="1">
        <w:r>
          <w:rPr>
            <w:color w:val="0000FF"/>
          </w:rPr>
          <w:t>постановлением</w:t>
        </w:r>
      </w:hyperlink>
      <w:r>
        <w:t xml:space="preserve"> Правительства Российской Федерации от 02.04.2020 N 409 "О мерах по обеспечению устойчивого развития экономики" (далее - Постановление N 409), изданным в соответствии с </w:t>
      </w:r>
      <w:hyperlink r:id="rId6" w:history="1">
        <w:r>
          <w:rPr>
            <w:color w:val="0000FF"/>
          </w:rPr>
          <w:t>пунктом 3 статьи 4</w:t>
        </w:r>
      </w:hyperlink>
      <w:r>
        <w:t xml:space="preserve"> Налогового кодекса Российской Федерации (далее - Кодекс) (в редакции Федерального закона от 01.04.2020 N 102-ФЗ "О внесении изменений в часть первую и вторую Налогового кодекса Российской Федерации и отдельные законодательные акты Российской Федерации") и вступившим в силу со дня его официального опубликования (06.04.2020), в части вопросов проведения выездных налоговых проверок, проведения мероприятий налогового контроля в рамках выездных налоговых проверок, и вне рамок налоговых проверок, сообщает следующее.</w:t>
      </w:r>
    </w:p>
    <w:p w:rsidR="000D3288" w:rsidRDefault="000D3288">
      <w:pPr>
        <w:pStyle w:val="ConsPlusNormal"/>
        <w:spacing w:before="220"/>
        <w:ind w:firstLine="540"/>
        <w:jc w:val="both"/>
      </w:pPr>
      <w:r>
        <w:t xml:space="preserve">В соответствии с </w:t>
      </w:r>
      <w:hyperlink r:id="rId7" w:history="1">
        <w:r>
          <w:rPr>
            <w:color w:val="0000FF"/>
          </w:rPr>
          <w:t>пунктом 4</w:t>
        </w:r>
      </w:hyperlink>
      <w:r>
        <w:t xml:space="preserve"> Постановления N 409 в период до 31.05.2020 включительно приостановлено:</w:t>
      </w:r>
    </w:p>
    <w:p w:rsidR="000D3288" w:rsidRDefault="000D3288">
      <w:pPr>
        <w:pStyle w:val="ConsPlusNormal"/>
        <w:spacing w:before="220"/>
        <w:ind w:firstLine="540"/>
        <w:jc w:val="both"/>
      </w:pPr>
      <w:r>
        <w:t>вынесение решений о проведении выездных (повторных выездных) налоговых проверок;</w:t>
      </w:r>
    </w:p>
    <w:p w:rsidR="000D3288" w:rsidRDefault="000D3288">
      <w:pPr>
        <w:pStyle w:val="ConsPlusNormal"/>
        <w:spacing w:before="220"/>
        <w:ind w:firstLine="540"/>
        <w:jc w:val="both"/>
      </w:pPr>
      <w:r>
        <w:t>проведение назначенных выездных (повторных выездных) налоговых проверок;</w:t>
      </w:r>
    </w:p>
    <w:p w:rsidR="000D3288" w:rsidRDefault="000D3288">
      <w:pPr>
        <w:pStyle w:val="ConsPlusNormal"/>
        <w:spacing w:before="220"/>
        <w:ind w:firstLine="540"/>
        <w:jc w:val="both"/>
      </w:pPr>
      <w:r>
        <w:t xml:space="preserve">течение сроков, установленных </w:t>
      </w:r>
      <w:hyperlink r:id="rId8" w:history="1">
        <w:r>
          <w:rPr>
            <w:color w:val="0000FF"/>
          </w:rPr>
          <w:t>Кодексом</w:t>
        </w:r>
      </w:hyperlink>
      <w:r>
        <w:t xml:space="preserve"> (в том числе сроков, предусмотренных </w:t>
      </w:r>
      <w:hyperlink r:id="rId9" w:history="1">
        <w:r>
          <w:rPr>
            <w:color w:val="0000FF"/>
          </w:rPr>
          <w:t>статьями 100</w:t>
        </w:r>
      </w:hyperlink>
      <w:r>
        <w:t xml:space="preserve"> и </w:t>
      </w:r>
      <w:hyperlink r:id="rId10" w:history="1">
        <w:r>
          <w:rPr>
            <w:color w:val="0000FF"/>
          </w:rPr>
          <w:t>101</w:t>
        </w:r>
      </w:hyperlink>
      <w:r>
        <w:t xml:space="preserve"> Кодекса), в отношении выездных (повторных выездных) налоговых проверок;</w:t>
      </w:r>
    </w:p>
    <w:p w:rsidR="000D3288" w:rsidRDefault="000D3288">
      <w:pPr>
        <w:pStyle w:val="ConsPlusNormal"/>
        <w:spacing w:before="220"/>
        <w:ind w:firstLine="540"/>
        <w:jc w:val="both"/>
      </w:pPr>
      <w:r>
        <w:t xml:space="preserve">течение сроков, предусмотренных </w:t>
      </w:r>
      <w:hyperlink r:id="rId11" w:history="1">
        <w:r>
          <w:rPr>
            <w:color w:val="0000FF"/>
          </w:rPr>
          <w:t>статьей 101.4</w:t>
        </w:r>
      </w:hyperlink>
      <w:r>
        <w:t xml:space="preserve"> Кодекса.</w:t>
      </w:r>
    </w:p>
    <w:p w:rsidR="000D3288" w:rsidRDefault="000D3288">
      <w:pPr>
        <w:pStyle w:val="ConsPlusNormal"/>
        <w:spacing w:before="220"/>
        <w:ind w:firstLine="540"/>
        <w:jc w:val="both"/>
      </w:pPr>
      <w:r>
        <w:t xml:space="preserve">Таким образом, в соответствии с </w:t>
      </w:r>
      <w:hyperlink r:id="rId12" w:history="1">
        <w:r>
          <w:rPr>
            <w:color w:val="0000FF"/>
          </w:rPr>
          <w:t>пунктом 4</w:t>
        </w:r>
      </w:hyperlink>
      <w:r>
        <w:t xml:space="preserve"> Постановления N 409 проведение выездных (повторных выездных) налоговых проверок приостанавливается до 31.05.2020 включительно и возобновляется 01.06.2020.</w:t>
      </w:r>
    </w:p>
    <w:p w:rsidR="000D3288" w:rsidRDefault="000D3288">
      <w:pPr>
        <w:pStyle w:val="ConsPlusNormal"/>
        <w:spacing w:before="220"/>
        <w:ind w:firstLine="540"/>
        <w:jc w:val="both"/>
      </w:pPr>
      <w:r>
        <w:t>Приостановление проведения назначенных выездных (повторных выездных) налоговых проверок в данном случае влечет установление запрета на проведение всех мероприятий налогового контроля, проводимых в рамках таких проверок.</w:t>
      </w:r>
    </w:p>
    <w:p w:rsidR="000D3288" w:rsidRDefault="000D3288">
      <w:pPr>
        <w:pStyle w:val="ConsPlusNormal"/>
        <w:spacing w:before="220"/>
        <w:ind w:firstLine="540"/>
        <w:jc w:val="both"/>
      </w:pPr>
      <w:r>
        <w:t xml:space="preserve">Приостановление течения сроков, установленных </w:t>
      </w:r>
      <w:hyperlink r:id="rId13" w:history="1">
        <w:r>
          <w:rPr>
            <w:color w:val="0000FF"/>
          </w:rPr>
          <w:t>Кодексом</w:t>
        </w:r>
      </w:hyperlink>
      <w:r>
        <w:t xml:space="preserve"> (в том числе сроков, предусмотренных </w:t>
      </w:r>
      <w:hyperlink r:id="rId14" w:history="1">
        <w:r>
          <w:rPr>
            <w:color w:val="0000FF"/>
          </w:rPr>
          <w:t>статьями 100</w:t>
        </w:r>
      </w:hyperlink>
      <w:r>
        <w:t xml:space="preserve"> и </w:t>
      </w:r>
      <w:hyperlink r:id="rId15" w:history="1">
        <w:r>
          <w:rPr>
            <w:color w:val="0000FF"/>
          </w:rPr>
          <w:t>101</w:t>
        </w:r>
      </w:hyperlink>
      <w:r>
        <w:t xml:space="preserve"> Кодекса), в отношении выездных (повторных выездных) налоговых проверок, распространяется на сроки осуществления следующих мероприятий (действий):</w:t>
      </w:r>
    </w:p>
    <w:p w:rsidR="000D3288" w:rsidRDefault="000D3288">
      <w:pPr>
        <w:pStyle w:val="ConsPlusNormal"/>
        <w:spacing w:before="220"/>
        <w:ind w:firstLine="540"/>
        <w:jc w:val="both"/>
      </w:pPr>
      <w:r>
        <w:t>- проведение выездной налоговой проверки;</w:t>
      </w:r>
    </w:p>
    <w:p w:rsidR="000D3288" w:rsidRDefault="000D3288">
      <w:pPr>
        <w:pStyle w:val="ConsPlusNormal"/>
        <w:spacing w:before="220"/>
        <w:ind w:firstLine="540"/>
        <w:jc w:val="both"/>
      </w:pPr>
      <w:r>
        <w:t>- приостановление проведения выездной налоговой проверки;</w:t>
      </w:r>
    </w:p>
    <w:p w:rsidR="000D3288" w:rsidRDefault="000D3288">
      <w:pPr>
        <w:pStyle w:val="ConsPlusNormal"/>
        <w:spacing w:before="220"/>
        <w:ind w:firstLine="540"/>
        <w:jc w:val="both"/>
      </w:pPr>
      <w:r>
        <w:t>- составление акта выездной налоговой проверки;</w:t>
      </w:r>
    </w:p>
    <w:p w:rsidR="000D3288" w:rsidRDefault="000D3288">
      <w:pPr>
        <w:pStyle w:val="ConsPlusNormal"/>
        <w:spacing w:before="220"/>
        <w:ind w:firstLine="540"/>
        <w:jc w:val="both"/>
      </w:pPr>
      <w:r>
        <w:t>- вручение акта выездной налоговой проверки;</w:t>
      </w:r>
    </w:p>
    <w:p w:rsidR="000D3288" w:rsidRDefault="000D3288">
      <w:pPr>
        <w:pStyle w:val="ConsPlusNormal"/>
        <w:spacing w:before="220"/>
        <w:ind w:firstLine="540"/>
        <w:jc w:val="both"/>
      </w:pPr>
      <w:r>
        <w:lastRenderedPageBreak/>
        <w:t>- представление возражений на акт налоговой проверки;</w:t>
      </w:r>
    </w:p>
    <w:p w:rsidR="000D3288" w:rsidRDefault="000D3288">
      <w:pPr>
        <w:pStyle w:val="ConsPlusNormal"/>
        <w:spacing w:before="220"/>
        <w:ind w:firstLine="540"/>
        <w:jc w:val="both"/>
      </w:pPr>
      <w:r>
        <w:t>- рассмотрение материалов выездной налоговой проверки;</w:t>
      </w:r>
    </w:p>
    <w:p w:rsidR="000D3288" w:rsidRDefault="000D3288">
      <w:pPr>
        <w:pStyle w:val="ConsPlusNormal"/>
        <w:spacing w:before="220"/>
        <w:ind w:firstLine="540"/>
        <w:jc w:val="both"/>
      </w:pPr>
      <w:r>
        <w:t>- проведение дополнительных мероприятий налогового контроля;</w:t>
      </w:r>
    </w:p>
    <w:p w:rsidR="000D3288" w:rsidRDefault="000D3288">
      <w:pPr>
        <w:pStyle w:val="ConsPlusNormal"/>
        <w:spacing w:before="220"/>
        <w:ind w:firstLine="540"/>
        <w:jc w:val="both"/>
      </w:pPr>
      <w:r>
        <w:t>- составление дополнения к акту налоговой проверки;</w:t>
      </w:r>
    </w:p>
    <w:p w:rsidR="000D3288" w:rsidRDefault="000D3288">
      <w:pPr>
        <w:pStyle w:val="ConsPlusNormal"/>
        <w:spacing w:before="220"/>
        <w:ind w:firstLine="540"/>
        <w:jc w:val="both"/>
      </w:pPr>
      <w:r>
        <w:t>- вручение дополнения к акту налоговой проверки;</w:t>
      </w:r>
    </w:p>
    <w:p w:rsidR="000D3288" w:rsidRDefault="000D3288">
      <w:pPr>
        <w:pStyle w:val="ConsPlusNormal"/>
        <w:spacing w:before="220"/>
        <w:ind w:firstLine="540"/>
        <w:jc w:val="both"/>
      </w:pPr>
      <w:r>
        <w:t>- представление возражений на дополнение к акту налоговой проверки;</w:t>
      </w:r>
    </w:p>
    <w:p w:rsidR="000D3288" w:rsidRDefault="000D3288">
      <w:pPr>
        <w:pStyle w:val="ConsPlusNormal"/>
        <w:spacing w:before="220"/>
        <w:ind w:firstLine="540"/>
        <w:jc w:val="both"/>
      </w:pPr>
      <w:r>
        <w:t xml:space="preserve">- составление акта, предусмотренного </w:t>
      </w:r>
      <w:hyperlink r:id="rId16" w:history="1">
        <w:r>
          <w:rPr>
            <w:color w:val="0000FF"/>
          </w:rPr>
          <w:t>статьей 101.4</w:t>
        </w:r>
      </w:hyperlink>
      <w:r>
        <w:t xml:space="preserve"> Кодекса;</w:t>
      </w:r>
    </w:p>
    <w:p w:rsidR="000D3288" w:rsidRDefault="000D3288">
      <w:pPr>
        <w:pStyle w:val="ConsPlusNormal"/>
        <w:spacing w:before="220"/>
        <w:ind w:firstLine="540"/>
        <w:jc w:val="both"/>
      </w:pPr>
      <w:r>
        <w:t xml:space="preserve">- представление возражений на акт, предусмотренный </w:t>
      </w:r>
      <w:hyperlink r:id="rId17" w:history="1">
        <w:r>
          <w:rPr>
            <w:color w:val="0000FF"/>
          </w:rPr>
          <w:t>статьей 101.4</w:t>
        </w:r>
      </w:hyperlink>
      <w:r>
        <w:t xml:space="preserve"> Кодекса;</w:t>
      </w:r>
    </w:p>
    <w:p w:rsidR="000D3288" w:rsidRDefault="000D3288">
      <w:pPr>
        <w:pStyle w:val="ConsPlusNormal"/>
        <w:spacing w:before="220"/>
        <w:ind w:firstLine="540"/>
        <w:jc w:val="both"/>
      </w:pPr>
      <w:r>
        <w:t xml:space="preserve">- рассмотрение дела о налоговом правонарушении, предусмотренного </w:t>
      </w:r>
      <w:hyperlink r:id="rId18" w:history="1">
        <w:r>
          <w:rPr>
            <w:color w:val="0000FF"/>
          </w:rPr>
          <w:t>статьей 101.4</w:t>
        </w:r>
      </w:hyperlink>
      <w:r>
        <w:t xml:space="preserve"> Кодекса.</w:t>
      </w:r>
    </w:p>
    <w:p w:rsidR="000D3288" w:rsidRDefault="000D3288">
      <w:pPr>
        <w:pStyle w:val="ConsPlusNormal"/>
        <w:spacing w:before="220"/>
        <w:ind w:firstLine="540"/>
        <w:jc w:val="both"/>
      </w:pPr>
      <w:r>
        <w:t>Если на период до 31.05.2020 включительно приходится дата, на которую назначено рассмотрение материалов налоговой проверки или дела о налоговом правонарушении (</w:t>
      </w:r>
      <w:hyperlink r:id="rId19" w:history="1">
        <w:r>
          <w:rPr>
            <w:color w:val="0000FF"/>
          </w:rPr>
          <w:t>статьи 101</w:t>
        </w:r>
      </w:hyperlink>
      <w:r>
        <w:t xml:space="preserve">, </w:t>
      </w:r>
      <w:hyperlink r:id="rId20" w:history="1">
        <w:r>
          <w:rPr>
            <w:color w:val="0000FF"/>
          </w:rPr>
          <w:t>101.4</w:t>
        </w:r>
      </w:hyperlink>
      <w:r>
        <w:t xml:space="preserve"> Кодекса), налоговому органу в письменной форме необходимо известить участвующих в таком рассмотрении лиц о новом сроке рассмотрения дел после окончания срока, установленного </w:t>
      </w:r>
      <w:hyperlink r:id="rId21" w:history="1">
        <w:r>
          <w:rPr>
            <w:color w:val="0000FF"/>
          </w:rPr>
          <w:t>пунктом 4</w:t>
        </w:r>
      </w:hyperlink>
      <w:r>
        <w:t xml:space="preserve"> Постановления N 409.</w:t>
      </w:r>
    </w:p>
    <w:p w:rsidR="000D3288" w:rsidRDefault="000D3288">
      <w:pPr>
        <w:pStyle w:val="ConsPlusNormal"/>
        <w:spacing w:before="220"/>
        <w:ind w:firstLine="540"/>
        <w:jc w:val="both"/>
      </w:pPr>
      <w:r>
        <w:t xml:space="preserve">Приостановления, предусмотренные в соответствии с </w:t>
      </w:r>
      <w:hyperlink r:id="rId22" w:history="1">
        <w:r>
          <w:rPr>
            <w:color w:val="0000FF"/>
          </w:rPr>
          <w:t>пунктом 4</w:t>
        </w:r>
      </w:hyperlink>
      <w:r>
        <w:t xml:space="preserve"> Постановления N 409, и их возобновление 01.06.2020 не требуют их оформления решением налогового органа.</w:t>
      </w:r>
    </w:p>
    <w:p w:rsidR="000D3288" w:rsidRDefault="000D3288">
      <w:pPr>
        <w:pStyle w:val="ConsPlusNormal"/>
        <w:spacing w:before="220"/>
        <w:ind w:firstLine="540"/>
        <w:jc w:val="both"/>
      </w:pPr>
      <w:r>
        <w:t xml:space="preserve">Необходимо учитывать, что приостановление течения сроков, предусмотренных </w:t>
      </w:r>
      <w:hyperlink r:id="rId23" w:history="1">
        <w:r>
          <w:rPr>
            <w:color w:val="0000FF"/>
          </w:rPr>
          <w:t>статьей 100</w:t>
        </w:r>
      </w:hyperlink>
      <w:r>
        <w:t xml:space="preserve"> Кодекса, не препятствует совершению налоговыми органами соответствующих процессуальных действий досрочно, то есть до 01.06.2020. Например, составить акт выездной налоговой проверки и направить его лицу, в отношении которого проведена выездная налоговая проверка. В данном случае процессуальный срок, предусмотренный </w:t>
      </w:r>
      <w:hyperlink r:id="rId24" w:history="1">
        <w:r>
          <w:rPr>
            <w:color w:val="0000FF"/>
          </w:rPr>
          <w:t>пунктом 5 статьи 100</w:t>
        </w:r>
      </w:hyperlink>
      <w:r>
        <w:t xml:space="preserve"> Кодекса, для представления лицом, в отношении которого проведена выездная налоговая проверка, возражений на акт налоговой проверки, начинает течь 01.06.2020.</w:t>
      </w:r>
    </w:p>
    <w:p w:rsidR="000D3288" w:rsidRDefault="000D3288">
      <w:pPr>
        <w:pStyle w:val="ConsPlusNormal"/>
        <w:spacing w:before="220"/>
        <w:ind w:firstLine="540"/>
        <w:jc w:val="both"/>
      </w:pPr>
      <w:r>
        <w:t xml:space="preserve">Также приостановление течения сроков, предусмотренных </w:t>
      </w:r>
      <w:hyperlink r:id="rId25" w:history="1">
        <w:r>
          <w:rPr>
            <w:color w:val="0000FF"/>
          </w:rPr>
          <w:t>статьей 101</w:t>
        </w:r>
      </w:hyperlink>
      <w:r>
        <w:t xml:space="preserve"> Кодекса, не препятствует вынесению итогового решения по выездной налоговой проверке, предусмотренного </w:t>
      </w:r>
      <w:hyperlink r:id="rId26" w:history="1">
        <w:r>
          <w:rPr>
            <w:color w:val="0000FF"/>
          </w:rPr>
          <w:t>пунктом 7 статьи 101</w:t>
        </w:r>
      </w:hyperlink>
      <w:r>
        <w:t xml:space="preserve"> Кодекса, и направлению его лицу, в отношении которого проведена выездная налоговая проверка, если к моменту получения настоящего письма материалы такой проверки уже рассмотрены в установленном порядке, и все предусмотренные </w:t>
      </w:r>
      <w:hyperlink r:id="rId27" w:history="1">
        <w:r>
          <w:rPr>
            <w:color w:val="0000FF"/>
          </w:rPr>
          <w:t>Кодексом</w:t>
        </w:r>
      </w:hyperlink>
      <w:r>
        <w:t xml:space="preserve"> процедуры соблюдены. В данном случае срок для вступления в силу указанного решения начинает течь 01.06.2020. Соответственно 01.06.2020 начинает течь срок для подачи апелляционной жалобы на указанное решение.</w:t>
      </w:r>
    </w:p>
    <w:p w:rsidR="000D3288" w:rsidRDefault="000D3288">
      <w:pPr>
        <w:pStyle w:val="ConsPlusNormal"/>
        <w:spacing w:before="220"/>
        <w:ind w:firstLine="540"/>
        <w:jc w:val="both"/>
      </w:pPr>
      <w:r>
        <w:t>Также до 01.06.2020 необходимо исключить проведение вне рамок выездных налоговых проверок мероприятий налогового контроля, связанных с непосредственным контактом с налогоплательщиками (их сотрудниками, представителями), свидетелями, иными лицами (осуществление допросов, осмотров, вызовов в налоговый орган и т.п.).</w:t>
      </w:r>
    </w:p>
    <w:p w:rsidR="000D3288" w:rsidRDefault="000D3288">
      <w:pPr>
        <w:pStyle w:val="ConsPlusNormal"/>
        <w:spacing w:before="220"/>
        <w:ind w:firstLine="540"/>
        <w:jc w:val="both"/>
      </w:pPr>
      <w:r>
        <w:t>Руководителям (исполняющим обязанности руководителя) управлений Федеральной налоговой службы по субъектам Российской Федерации, начальникам (исполняющим обязанности начальника) межрегиональных инспекций Федеральной налоговой службы по крупнейшим налогоплательщикам незамедлительно довести настоящее письмо до нижестоящих налоговых органов и обеспечить его применение.</w:t>
      </w:r>
    </w:p>
    <w:p w:rsidR="000D3288" w:rsidRDefault="000D3288">
      <w:pPr>
        <w:pStyle w:val="ConsPlusNormal"/>
        <w:ind w:firstLine="540"/>
        <w:jc w:val="both"/>
      </w:pPr>
    </w:p>
    <w:p w:rsidR="000D3288" w:rsidRDefault="000D3288">
      <w:pPr>
        <w:pStyle w:val="ConsPlusNormal"/>
        <w:jc w:val="right"/>
      </w:pPr>
      <w:r>
        <w:t>Действительный</w:t>
      </w:r>
    </w:p>
    <w:p w:rsidR="000D3288" w:rsidRDefault="000D3288">
      <w:pPr>
        <w:pStyle w:val="ConsPlusNormal"/>
        <w:jc w:val="right"/>
      </w:pPr>
      <w:r>
        <w:lastRenderedPageBreak/>
        <w:t>государственный советник</w:t>
      </w:r>
    </w:p>
    <w:p w:rsidR="000D3288" w:rsidRDefault="000D3288">
      <w:pPr>
        <w:pStyle w:val="ConsPlusNormal"/>
        <w:jc w:val="right"/>
      </w:pPr>
      <w:r>
        <w:t>Российской Федерации</w:t>
      </w:r>
    </w:p>
    <w:p w:rsidR="000D3288" w:rsidRDefault="000D3288">
      <w:pPr>
        <w:pStyle w:val="ConsPlusNormal"/>
        <w:jc w:val="right"/>
      </w:pPr>
      <w:r>
        <w:t>2 класса</w:t>
      </w:r>
    </w:p>
    <w:p w:rsidR="000D3288" w:rsidRDefault="000D3288">
      <w:pPr>
        <w:pStyle w:val="ConsPlusNormal"/>
        <w:jc w:val="right"/>
      </w:pPr>
      <w:r>
        <w:t>Д.С.САТИН</w:t>
      </w:r>
    </w:p>
    <w:p w:rsidR="000D3288" w:rsidRDefault="000D3288">
      <w:pPr>
        <w:pStyle w:val="ConsPlusNormal"/>
        <w:jc w:val="right"/>
      </w:pPr>
    </w:p>
    <w:p w:rsidR="000D3288" w:rsidRDefault="000D3288">
      <w:pPr>
        <w:pStyle w:val="ConsPlusNormal"/>
        <w:ind w:firstLine="540"/>
        <w:jc w:val="both"/>
      </w:pPr>
    </w:p>
    <w:p w:rsidR="000D3288" w:rsidRDefault="000D3288">
      <w:pPr>
        <w:pStyle w:val="ConsPlusNormal"/>
        <w:pBdr>
          <w:top w:val="single" w:sz="6" w:space="0" w:color="auto"/>
        </w:pBdr>
        <w:spacing w:before="100" w:after="100"/>
        <w:jc w:val="both"/>
        <w:rPr>
          <w:sz w:val="2"/>
          <w:szCs w:val="2"/>
        </w:rPr>
      </w:pPr>
    </w:p>
    <w:p w:rsidR="0094580E" w:rsidRDefault="0094580E">
      <w:bookmarkStart w:id="0" w:name="_GoBack"/>
      <w:bookmarkEnd w:id="0"/>
    </w:p>
    <w:sectPr w:rsidR="0094580E" w:rsidSect="002971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88"/>
    <w:rsid w:val="000D3288"/>
    <w:rsid w:val="0094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3FC0B-EBC4-46BA-B191-DE63784E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2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32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32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8C51EFF77574B8234277044BEEA748D73C0801AC5BBC298B11C4BCAE67C42E307622397E7573B19923B74127nB4AH" TargetMode="External"/><Relationship Id="rId13" Type="http://schemas.openxmlformats.org/officeDocument/2006/relationships/hyperlink" Target="consultantplus://offline/ref=0E8C51EFF77574B8234277044BEEA748D73C0801AC5BBC298B11C4BCAE67C42E307622397E7573B19923B74127nB4AH" TargetMode="External"/><Relationship Id="rId18" Type="http://schemas.openxmlformats.org/officeDocument/2006/relationships/hyperlink" Target="consultantplus://offline/ref=0E8C51EFF77574B8234277044BEEA748D73C0801AC5BBC298B11C4BCAE67C42E22767A3C7B7466E5CC79E04C24BF3DD77E411446C0nA4AH" TargetMode="External"/><Relationship Id="rId26" Type="http://schemas.openxmlformats.org/officeDocument/2006/relationships/hyperlink" Target="consultantplus://offline/ref=0E8C51EFF77574B8234277044BEEA748D73C0801AC5BBC298B11C4BCAE67C42E22767A33767866E5CC79E04C24BF3DD77E411446C0nA4AH" TargetMode="External"/><Relationship Id="rId3" Type="http://schemas.openxmlformats.org/officeDocument/2006/relationships/webSettings" Target="webSettings.xml"/><Relationship Id="rId21" Type="http://schemas.openxmlformats.org/officeDocument/2006/relationships/hyperlink" Target="consultantplus://offline/ref=0E8C51EFF77574B8234277044BEEA748D73B0503AC58BC298B11C4BCAE67C42E22767A357F706DB39536E11061EF2ED67F411642DCA87947n54AH" TargetMode="External"/><Relationship Id="rId7" Type="http://schemas.openxmlformats.org/officeDocument/2006/relationships/hyperlink" Target="consultantplus://offline/ref=0E8C51EFF77574B8234277044BEEA748D73B0503AC58BC298B11C4BCAE67C42E22767A357F706DB39536E11061EF2ED67F411642DCA87947n54AH" TargetMode="External"/><Relationship Id="rId12" Type="http://schemas.openxmlformats.org/officeDocument/2006/relationships/hyperlink" Target="consultantplus://offline/ref=0E8C51EFF77574B8234277044BEEA748D73B0503AC58BC298B11C4BCAE67C42E22767A357F706DB39536E11061EF2ED67F411642DCA87947n54AH" TargetMode="External"/><Relationship Id="rId17" Type="http://schemas.openxmlformats.org/officeDocument/2006/relationships/hyperlink" Target="consultantplus://offline/ref=0E8C51EFF77574B8234277044BEEA748D73C0801AC5BBC298B11C4BCAE67C42E22767A3C7B7466E5CC79E04C24BF3DD77E411446C0nA4AH" TargetMode="External"/><Relationship Id="rId25" Type="http://schemas.openxmlformats.org/officeDocument/2006/relationships/hyperlink" Target="consultantplus://offline/ref=0E8C51EFF77574B8234277044BEEA748D73C0801AC5BBC298B11C4BCAE67C42E22767A33787766E5CC79E04C24BF3DD77E411446C0nA4AH" TargetMode="External"/><Relationship Id="rId2" Type="http://schemas.openxmlformats.org/officeDocument/2006/relationships/settings" Target="settings.xml"/><Relationship Id="rId16" Type="http://schemas.openxmlformats.org/officeDocument/2006/relationships/hyperlink" Target="consultantplus://offline/ref=0E8C51EFF77574B8234277044BEEA748D73C0801AC5BBC298B11C4BCAE67C42E22767A3C7B7466E5CC79E04C24BF3DD77E411446C0nA4AH" TargetMode="External"/><Relationship Id="rId20" Type="http://schemas.openxmlformats.org/officeDocument/2006/relationships/hyperlink" Target="consultantplus://offline/ref=0E8C51EFF77574B8234277044BEEA748D73C0801AC5BBC298B11C4BCAE67C42E22767A3C7B7466E5CC79E04C24BF3DD77E411446C0nA4A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E8C51EFF77574B8234277044BEEA748D73C0801AC5BBC298B11C4BCAE67C42E22767A357F7168B59B36E11061EF2ED67F411642DCA87947n54AH" TargetMode="External"/><Relationship Id="rId11" Type="http://schemas.openxmlformats.org/officeDocument/2006/relationships/hyperlink" Target="consultantplus://offline/ref=0E8C51EFF77574B8234277044BEEA748D73C0801AC5BBC298B11C4BCAE67C42E22767A3C7B7466E5CC79E04C24BF3DD77E411446C0nA4AH" TargetMode="External"/><Relationship Id="rId24" Type="http://schemas.openxmlformats.org/officeDocument/2006/relationships/hyperlink" Target="consultantplus://offline/ref=0E8C51EFF77574B8234277044BEEA748D73C0801AC5BBC298B11C4BCAE67C42E22767A377D7468BAC96CF11428BB26C97A5B0844C2A8n749H" TargetMode="External"/><Relationship Id="rId5" Type="http://schemas.openxmlformats.org/officeDocument/2006/relationships/hyperlink" Target="consultantplus://offline/ref=0E8C51EFF77574B8234277044BEEA748D73B0503AC58BC298B11C4BCAE67C42E307622397E7573B19923B74127nB4AH" TargetMode="External"/><Relationship Id="rId15" Type="http://schemas.openxmlformats.org/officeDocument/2006/relationships/hyperlink" Target="consultantplus://offline/ref=0E8C51EFF77574B8234277044BEEA748D73C0801AC5BBC298B11C4BCAE67C42E22767A33787766E5CC79E04C24BF3DD77E411446C0nA4AH" TargetMode="External"/><Relationship Id="rId23" Type="http://schemas.openxmlformats.org/officeDocument/2006/relationships/hyperlink" Target="consultantplus://offline/ref=0E8C51EFF77574B8234277044BEEA748D73C0801AC5BBC298B11C4BCAE67C42E22767A337A7166E5CC79E04C24BF3DD77E411446C0nA4AH" TargetMode="External"/><Relationship Id="rId28" Type="http://schemas.openxmlformats.org/officeDocument/2006/relationships/fontTable" Target="fontTable.xml"/><Relationship Id="rId10" Type="http://schemas.openxmlformats.org/officeDocument/2006/relationships/hyperlink" Target="consultantplus://offline/ref=0E8C51EFF77574B8234277044BEEA748D73C0801AC5BBC298B11C4BCAE67C42E22767A33787766E5CC79E04C24BF3DD77E411446C0nA4AH" TargetMode="External"/><Relationship Id="rId19" Type="http://schemas.openxmlformats.org/officeDocument/2006/relationships/hyperlink" Target="consultantplus://offline/ref=0E8C51EFF77574B8234277044BEEA748D73C0801AC5BBC298B11C4BCAE67C42E22767A33787766E5CC79E04C24BF3DD77E411446C0nA4A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E8C51EFF77574B8234277044BEEA748D73C0801AC5BBC298B11C4BCAE67C42E22767A337A7166E5CC79E04C24BF3DD77E411446C0nA4AH" TargetMode="External"/><Relationship Id="rId14" Type="http://schemas.openxmlformats.org/officeDocument/2006/relationships/hyperlink" Target="consultantplus://offline/ref=0E8C51EFF77574B8234277044BEEA748D73C0801AC5BBC298B11C4BCAE67C42E22767A337A7166E5CC79E04C24BF3DD77E411446C0nA4AH" TargetMode="External"/><Relationship Id="rId22" Type="http://schemas.openxmlformats.org/officeDocument/2006/relationships/hyperlink" Target="consultantplus://offline/ref=0E8C51EFF77574B8234277044BEEA748D73B0503AC58BC298B11C4BCAE67C42E22767A357F706DB39536E11061EF2ED67F411642DCA87947n54AH" TargetMode="External"/><Relationship Id="rId27" Type="http://schemas.openxmlformats.org/officeDocument/2006/relationships/hyperlink" Target="consultantplus://offline/ref=0E8C51EFF77574B8234277044BEEA748D73C0801AC5BBC298B11C4BCAE67C42E307622397E7573B19923B74127nB4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2020-04-15T07:56:00Z</dcterms:created>
  <dcterms:modified xsi:type="dcterms:W3CDTF">2020-04-15T07:57:00Z</dcterms:modified>
</cp:coreProperties>
</file>