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CB0" w:rsidRDefault="00677CB0">
      <w:pPr>
        <w:pStyle w:val="ConsPlusTitlePage"/>
      </w:pPr>
      <w:r>
        <w:t xml:space="preserve">Документ предоставлен </w:t>
      </w:r>
      <w:hyperlink r:id="rId4" w:history="1">
        <w:r>
          <w:rPr>
            <w:color w:val="0000FF"/>
          </w:rPr>
          <w:t>КонсультантПлюс</w:t>
        </w:r>
      </w:hyperlink>
      <w:r>
        <w:br/>
      </w:r>
    </w:p>
    <w:p w:rsidR="00677CB0" w:rsidRDefault="00677CB0">
      <w:pPr>
        <w:pStyle w:val="ConsPlusNormal"/>
        <w:jc w:val="both"/>
        <w:outlineLvl w:val="0"/>
      </w:pPr>
    </w:p>
    <w:p w:rsidR="00677CB0" w:rsidRDefault="00677CB0">
      <w:pPr>
        <w:pStyle w:val="ConsPlusTitle"/>
        <w:jc w:val="center"/>
      </w:pPr>
      <w:r>
        <w:t>ЦЕНТРАЛЬНЫЙ БАНК РОССИЙСКОЙ ФЕДЕРАЦИИ</w:t>
      </w:r>
    </w:p>
    <w:p w:rsidR="00677CB0" w:rsidRDefault="00677CB0">
      <w:pPr>
        <w:pStyle w:val="ConsPlusTitle"/>
        <w:jc w:val="center"/>
      </w:pPr>
    </w:p>
    <w:p w:rsidR="00677CB0" w:rsidRDefault="00677CB0">
      <w:pPr>
        <w:pStyle w:val="ConsPlusTitle"/>
        <w:jc w:val="center"/>
      </w:pPr>
      <w:r>
        <w:t>ПИСЬМО</w:t>
      </w:r>
    </w:p>
    <w:p w:rsidR="00677CB0" w:rsidRDefault="00677CB0">
      <w:pPr>
        <w:pStyle w:val="ConsPlusTitle"/>
        <w:jc w:val="center"/>
      </w:pPr>
      <w:r>
        <w:t>от 6 апреля 2020 г. N ИН-015-55/50</w:t>
      </w:r>
    </w:p>
    <w:p w:rsidR="00677CB0" w:rsidRDefault="00677CB0">
      <w:pPr>
        <w:pStyle w:val="ConsPlusTitle"/>
        <w:jc w:val="center"/>
      </w:pPr>
    </w:p>
    <w:p w:rsidR="00677CB0" w:rsidRDefault="00677CB0">
      <w:pPr>
        <w:pStyle w:val="ConsPlusTitle"/>
        <w:jc w:val="center"/>
      </w:pPr>
      <w:r>
        <w:t>О МЕРАХ</w:t>
      </w:r>
    </w:p>
    <w:p w:rsidR="00677CB0" w:rsidRDefault="00677CB0">
      <w:pPr>
        <w:pStyle w:val="ConsPlusTitle"/>
        <w:jc w:val="center"/>
      </w:pPr>
      <w:r>
        <w:t>ПО ПОДДЕРЖКЕ УЧАСТНИКОВ ФИНАНСОВОГО РЫНКА В УСЛОВИЯХ</w:t>
      </w:r>
    </w:p>
    <w:p w:rsidR="00677CB0" w:rsidRDefault="00677CB0">
      <w:pPr>
        <w:pStyle w:val="ConsPlusTitle"/>
        <w:jc w:val="center"/>
      </w:pPr>
      <w:r>
        <w:t>ПАНДЕМИИ КОРОНАВИРУСА</w:t>
      </w:r>
    </w:p>
    <w:p w:rsidR="00677CB0" w:rsidRDefault="00677CB0">
      <w:pPr>
        <w:pStyle w:val="ConsPlusNormal"/>
        <w:jc w:val="both"/>
      </w:pPr>
    </w:p>
    <w:p w:rsidR="00677CB0" w:rsidRDefault="00677CB0">
      <w:pPr>
        <w:pStyle w:val="ConsPlusNormal"/>
        <w:ind w:firstLine="540"/>
        <w:jc w:val="both"/>
      </w:pPr>
      <w:r>
        <w:t>В рамках принятия мер по снижению регуляторной и надзорной нагрузки на профессиональных участников рынка ценных бумаг &lt;1&gt;, а также организаторов торговли, клиринговых организаций, репозитариев, управляющих компаний, инвестиционных фондов, паевых инвестиционных фондов и негосударственных пенсионных фондов (далее - управляющие компании), и акционерных инвестиционных фондов (далее при совместном упоминании - Организации) (за исключением случаев, требующих неотложного надзорного реагирования) в связи с действиями системных факторов, обусловленных распространением коронавирусной инфекции (COVID-19), Банк России сообщает следующее.</w:t>
      </w:r>
    </w:p>
    <w:p w:rsidR="00677CB0" w:rsidRDefault="00677CB0">
      <w:pPr>
        <w:pStyle w:val="ConsPlusNormal"/>
        <w:spacing w:before="220"/>
        <w:ind w:firstLine="540"/>
        <w:jc w:val="both"/>
      </w:pPr>
      <w:r>
        <w:t>--------------------------------</w:t>
      </w:r>
    </w:p>
    <w:p w:rsidR="00677CB0" w:rsidRDefault="00677CB0">
      <w:pPr>
        <w:pStyle w:val="ConsPlusNormal"/>
        <w:spacing w:before="220"/>
        <w:ind w:firstLine="540"/>
        <w:jc w:val="both"/>
      </w:pPr>
      <w:r>
        <w:t>&lt;1&gt; Осуществляющих дилерскую деятельность, брокерскую деятельность, деятельность по доверительному управлению, деятельность форекс-дилера, деятельность по инвестиционному консультированию, депозитарную деятельность, деятельность по ведению реестров владельцев ценных бумаг.</w:t>
      </w:r>
    </w:p>
    <w:p w:rsidR="00677CB0" w:rsidRDefault="00677CB0">
      <w:pPr>
        <w:pStyle w:val="ConsPlusNormal"/>
        <w:jc w:val="both"/>
      </w:pPr>
    </w:p>
    <w:p w:rsidR="00677CB0" w:rsidRDefault="00677CB0">
      <w:pPr>
        <w:pStyle w:val="ConsPlusNormal"/>
        <w:ind w:firstLine="540"/>
        <w:jc w:val="both"/>
      </w:pPr>
      <w:r>
        <w:t>1. Банк России не применяет меры воздействия за следующие нарушения, совершенные Организациями с 01.03.2020 по 01.01.2021:</w:t>
      </w:r>
    </w:p>
    <w:p w:rsidR="00677CB0" w:rsidRDefault="00677CB0">
      <w:pPr>
        <w:pStyle w:val="ConsPlusNormal"/>
        <w:spacing w:before="220"/>
        <w:ind w:firstLine="540"/>
        <w:jc w:val="both"/>
      </w:pPr>
      <w:r>
        <w:t xml:space="preserve">непредставление брокерами, дилерами, управляющими, управляющими компаниями, акционерными инвестиционными фондами информации о внебиржевых сделках организатору торговли, которая подлежит представлению в соответствии с </w:t>
      </w:r>
      <w:hyperlink r:id="rId5" w:history="1">
        <w:r>
          <w:rPr>
            <w:color w:val="0000FF"/>
          </w:rPr>
          <w:t>пунктом 7</w:t>
        </w:r>
      </w:hyperlink>
      <w:r>
        <w:t xml:space="preserve"> Положения о предоставлении информации о заключении сделок, утвержденного приказом ФСФР России от 22.06.2006 N 06-67/пз-н;</w:t>
      </w:r>
    </w:p>
    <w:p w:rsidR="00677CB0" w:rsidRDefault="00677CB0">
      <w:pPr>
        <w:pStyle w:val="ConsPlusNormal"/>
        <w:spacing w:before="220"/>
        <w:ind w:firstLine="540"/>
        <w:jc w:val="both"/>
      </w:pPr>
      <w:r>
        <w:t xml:space="preserve">неосуществление брокером расчета показателя краткосрочной ликвидности в соответствии с </w:t>
      </w:r>
      <w:hyperlink r:id="rId6" w:history="1">
        <w:r>
          <w:rPr>
            <w:color w:val="0000FF"/>
          </w:rPr>
          <w:t>Указанием</w:t>
        </w:r>
      </w:hyperlink>
      <w:r>
        <w:t xml:space="preserve"> Банка России от 06.06.2017 N 4402-У "О требованиях к осуществлению брокерской деятельности в части расчета показателя краткосрочной ликвидности при предоставлении клиентами брокера права использования их денежных средств в его интересах";</w:t>
      </w:r>
    </w:p>
    <w:p w:rsidR="00677CB0" w:rsidRDefault="00677CB0">
      <w:pPr>
        <w:pStyle w:val="ConsPlusNormal"/>
        <w:spacing w:before="220"/>
        <w:ind w:firstLine="540"/>
        <w:jc w:val="both"/>
      </w:pPr>
      <w:r>
        <w:t xml:space="preserve">непредставление брокером в Банк России отчетности по </w:t>
      </w:r>
      <w:hyperlink r:id="rId7" w:history="1">
        <w:r>
          <w:rPr>
            <w:color w:val="0000FF"/>
          </w:rPr>
          <w:t>форме 0420454</w:t>
        </w:r>
      </w:hyperlink>
      <w:r>
        <w:t xml:space="preserve"> "Расчет показателя краткосрочной ликвидности брокера" в соответствии с Указанием Банка России от 04.04.2019 N 5117-У &lt;2&gt;;</w:t>
      </w:r>
    </w:p>
    <w:p w:rsidR="00677CB0" w:rsidRDefault="00677CB0">
      <w:pPr>
        <w:pStyle w:val="ConsPlusNormal"/>
        <w:spacing w:before="220"/>
        <w:ind w:firstLine="540"/>
        <w:jc w:val="both"/>
      </w:pPr>
      <w:r>
        <w:t>--------------------------------</w:t>
      </w:r>
    </w:p>
    <w:p w:rsidR="00677CB0" w:rsidRDefault="00677CB0">
      <w:pPr>
        <w:pStyle w:val="ConsPlusNormal"/>
        <w:spacing w:before="220"/>
        <w:ind w:firstLine="540"/>
        <w:jc w:val="both"/>
      </w:pPr>
      <w:r>
        <w:t xml:space="preserve">&lt;2&gt; </w:t>
      </w:r>
      <w:hyperlink r:id="rId8" w:history="1">
        <w:r>
          <w:rPr>
            <w:color w:val="0000FF"/>
          </w:rPr>
          <w:t>Указание</w:t>
        </w:r>
      </w:hyperlink>
      <w:r>
        <w:t xml:space="preserve"> Банка России от 04.04.2019 N 5117-У "О формах, сроках и порядке составления и представления отчетности профессиональных участников рынка ценных бумаг, организаторов торговли, клиринговых организаций и лиц, осуществляющих функции центрального контрагента, а также другой информации в Центральный банк Российской Федерации".</w:t>
      </w:r>
    </w:p>
    <w:p w:rsidR="00677CB0" w:rsidRDefault="00677CB0">
      <w:pPr>
        <w:pStyle w:val="ConsPlusNormal"/>
        <w:jc w:val="both"/>
      </w:pPr>
    </w:p>
    <w:p w:rsidR="00677CB0" w:rsidRDefault="00677CB0">
      <w:pPr>
        <w:pStyle w:val="ConsPlusNormal"/>
        <w:ind w:firstLine="540"/>
        <w:jc w:val="both"/>
      </w:pPr>
      <w:r>
        <w:t xml:space="preserve">неосуществление дилером, брокером, управляющим и форекс-дилером расчета показателя достаточности капитала в соответствии с </w:t>
      </w:r>
      <w:hyperlink r:id="rId9" w:history="1">
        <w:r>
          <w:rPr>
            <w:color w:val="0000FF"/>
          </w:rPr>
          <w:t>Указанием</w:t>
        </w:r>
      </w:hyperlink>
      <w:r>
        <w:t xml:space="preserve"> Банка России от 30.11.2017 N 4630-У "О </w:t>
      </w:r>
      <w:r>
        <w:lastRenderedPageBreak/>
        <w:t>требованиях к осуществлению дилерской, брокерской деятельности, деятельности по управлению ценными бумагами и деятельности форекс-дилеров в части расчета показателя достаточности капитала";</w:t>
      </w:r>
    </w:p>
    <w:p w:rsidR="00677CB0" w:rsidRDefault="00677CB0">
      <w:pPr>
        <w:pStyle w:val="ConsPlusNormal"/>
        <w:spacing w:before="220"/>
        <w:ind w:firstLine="540"/>
        <w:jc w:val="both"/>
      </w:pPr>
      <w:r>
        <w:t xml:space="preserve">непредставление дилером, брокером, управляющим и форекс-дилером в Банк России отчетности по </w:t>
      </w:r>
      <w:hyperlink r:id="rId10" w:history="1">
        <w:r>
          <w:rPr>
            <w:color w:val="0000FF"/>
          </w:rPr>
          <w:t>форме 0420455</w:t>
        </w:r>
      </w:hyperlink>
      <w:r>
        <w:t xml:space="preserve"> "Расчет показателя достаточности капитала" в соответствии с Указанием Банка России от 04.04.2019 N 5117-У;</w:t>
      </w:r>
    </w:p>
    <w:p w:rsidR="00677CB0" w:rsidRDefault="00677CB0">
      <w:pPr>
        <w:pStyle w:val="ConsPlusNormal"/>
        <w:spacing w:before="220"/>
        <w:ind w:firstLine="540"/>
        <w:jc w:val="both"/>
      </w:pPr>
      <w:r>
        <w:t xml:space="preserve">нарушение профессиональными участниками рынка ценных бумаг, значения показателей деятельности которых соответствуют </w:t>
      </w:r>
      <w:hyperlink r:id="rId11" w:history="1">
        <w:r>
          <w:rPr>
            <w:color w:val="0000FF"/>
          </w:rPr>
          <w:t>графам 3</w:t>
        </w:r>
      </w:hyperlink>
      <w:r>
        <w:t xml:space="preserve"> и </w:t>
      </w:r>
      <w:hyperlink r:id="rId12" w:history="1">
        <w:r>
          <w:rPr>
            <w:color w:val="0000FF"/>
          </w:rPr>
          <w:t>4</w:t>
        </w:r>
      </w:hyperlink>
      <w:r>
        <w:t xml:space="preserve"> приложения к Положению Банка России от 27.07.2015 N 481-П &lt;3&gt;, сроков представления в Банк России отчетности по </w:t>
      </w:r>
      <w:hyperlink r:id="rId13" w:history="1">
        <w:r>
          <w:rPr>
            <w:color w:val="0000FF"/>
          </w:rPr>
          <w:t>форме 0420413</w:t>
        </w:r>
      </w:hyperlink>
      <w:r>
        <w:t xml:space="preserve"> "Расчет собственных средств" в соответствии с Указанием Банка России от 04.04.2019 N 5117-У (в случае представления данной отчетности на ежеквартальной основе);</w:t>
      </w:r>
    </w:p>
    <w:p w:rsidR="00677CB0" w:rsidRDefault="00677CB0">
      <w:pPr>
        <w:pStyle w:val="ConsPlusNormal"/>
        <w:spacing w:before="220"/>
        <w:ind w:firstLine="540"/>
        <w:jc w:val="both"/>
      </w:pPr>
      <w:r>
        <w:t>--------------------------------</w:t>
      </w:r>
    </w:p>
    <w:p w:rsidR="00677CB0" w:rsidRDefault="00677CB0">
      <w:pPr>
        <w:pStyle w:val="ConsPlusNormal"/>
        <w:spacing w:before="220"/>
        <w:ind w:firstLine="540"/>
        <w:jc w:val="both"/>
      </w:pPr>
      <w:r>
        <w:t xml:space="preserve">&lt;3&gt; </w:t>
      </w:r>
      <w:hyperlink r:id="rId14" w:history="1">
        <w:r>
          <w:rPr>
            <w:color w:val="0000FF"/>
          </w:rPr>
          <w:t>Положение</w:t>
        </w:r>
      </w:hyperlink>
      <w:r>
        <w:t xml:space="preserve"> Банка России от 27.07.2015 N 481-П "О лицензионных требованиях и условиях осуществления профессиональной деятельности на рынке ценных бумаг, ограничениях на совмещение отдельных видов профессиональной деятельности на рынке ценных бумаг, а также о порядке и сроках представления в Банк России отчетов о прекращении обязательств, связанных с осуществлением профессиональной деятельности на рынке ценных бумаг, в случае аннулирования лицензии профессионального участника рынка ценных бумаг".</w:t>
      </w:r>
    </w:p>
    <w:p w:rsidR="00677CB0" w:rsidRDefault="00677CB0">
      <w:pPr>
        <w:pStyle w:val="ConsPlusNormal"/>
        <w:jc w:val="both"/>
      </w:pPr>
    </w:p>
    <w:p w:rsidR="00677CB0" w:rsidRDefault="00677CB0">
      <w:pPr>
        <w:pStyle w:val="ConsPlusNormal"/>
        <w:ind w:firstLine="540"/>
        <w:jc w:val="both"/>
      </w:pPr>
      <w:r>
        <w:t xml:space="preserve">несоставление и непредставление контролером профессионального участника рынка ценных бумаг руководителю профессионального участника рынка ценных бумаг отчета о проверке выявленного нарушения профессиональным участником требований законодательства Российской Федерации и внутренних документов профессионального участника (за исключением квартального отчета), предусмотренного </w:t>
      </w:r>
      <w:hyperlink r:id="rId15" w:history="1">
        <w:r>
          <w:rPr>
            <w:color w:val="0000FF"/>
          </w:rPr>
          <w:t>пунктом 6.1</w:t>
        </w:r>
      </w:hyperlink>
      <w:r>
        <w:t xml:space="preserve"> Положения о внутреннем контроле профессионального участника рынка ценных бумаг, утвержденным приказом ФСФР России от 24.05.2012 N 12-32/пз-н, за исключением случаев выявления контролером нарушений, требующих неотложного реагирования со стороны руководства профессионального участника рынка ценных бумаг (в частности, нарушений прав клиентов профессионального участника рынка ценных бумаг, нарушений, влекущих невозможность продолжения профессиональной деятельности на рынке ценных бумаг);</w:t>
      </w:r>
    </w:p>
    <w:p w:rsidR="00677CB0" w:rsidRDefault="00677CB0">
      <w:pPr>
        <w:pStyle w:val="ConsPlusNormal"/>
        <w:spacing w:before="220"/>
        <w:ind w:firstLine="540"/>
        <w:jc w:val="both"/>
      </w:pPr>
      <w:r>
        <w:t xml:space="preserve">отсутствие подписи контролера профессионального участника рынка ценных бумаг в отчетности, представляемой в Банк России в соответствии с </w:t>
      </w:r>
      <w:hyperlink r:id="rId16" w:history="1">
        <w:r>
          <w:rPr>
            <w:color w:val="0000FF"/>
          </w:rPr>
          <w:t>Указанием</w:t>
        </w:r>
      </w:hyperlink>
      <w:r>
        <w:t xml:space="preserve"> N 5117-У.</w:t>
      </w:r>
    </w:p>
    <w:p w:rsidR="00677CB0" w:rsidRDefault="00677CB0">
      <w:pPr>
        <w:pStyle w:val="ConsPlusNormal"/>
        <w:spacing w:before="220"/>
        <w:ind w:firstLine="540"/>
        <w:jc w:val="both"/>
      </w:pPr>
      <w:r>
        <w:t>2. Банк России не применяет меры воздействия за следующие нарушения, совершенные Организациями с 01.03.2020 по 01.03.2021:</w:t>
      </w:r>
    </w:p>
    <w:p w:rsidR="00677CB0" w:rsidRDefault="00677C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7CB0">
        <w:trPr>
          <w:jc w:val="center"/>
        </w:trPr>
        <w:tc>
          <w:tcPr>
            <w:tcW w:w="9294" w:type="dxa"/>
            <w:tcBorders>
              <w:top w:val="nil"/>
              <w:left w:val="single" w:sz="24" w:space="0" w:color="CED3F1"/>
              <w:bottom w:val="nil"/>
              <w:right w:val="single" w:sz="24" w:space="0" w:color="F4F3F8"/>
            </w:tcBorders>
            <w:shd w:val="clear" w:color="auto" w:fill="F4F3F8"/>
          </w:tcPr>
          <w:p w:rsidR="00677CB0" w:rsidRDefault="00677CB0">
            <w:pPr>
              <w:pStyle w:val="ConsPlusNormal"/>
              <w:jc w:val="both"/>
            </w:pPr>
            <w:r>
              <w:rPr>
                <w:color w:val="392C69"/>
              </w:rPr>
              <w:t>КонсультантПлюс: примечание.</w:t>
            </w:r>
          </w:p>
          <w:p w:rsidR="00677CB0" w:rsidRDefault="00677CB0">
            <w:pPr>
              <w:pStyle w:val="ConsPlusNormal"/>
              <w:jc w:val="both"/>
            </w:pPr>
            <w:r>
              <w:rPr>
                <w:color w:val="392C69"/>
              </w:rPr>
              <w:t>В официальном тексте документа, видимо, допущена опечатка: имеется в виду п. 1 приложения 1, а не п. 6.1.</w:t>
            </w:r>
          </w:p>
        </w:tc>
      </w:tr>
    </w:tbl>
    <w:p w:rsidR="00677CB0" w:rsidRDefault="00677CB0">
      <w:pPr>
        <w:pStyle w:val="ConsPlusNormal"/>
        <w:spacing w:before="280"/>
        <w:ind w:firstLine="540"/>
        <w:jc w:val="both"/>
      </w:pPr>
      <w:r>
        <w:t xml:space="preserve">непроведение организаторами торговли операционного аудита (если обязанность по проведению операционного аудита наступает в период с 01.03.2020 по 01.03.2021) в соответствии с пунктом 6.1 </w:t>
      </w:r>
      <w:hyperlink r:id="rId17" w:history="1">
        <w:r>
          <w:rPr>
            <w:color w:val="0000FF"/>
          </w:rPr>
          <w:t>приложения 1</w:t>
        </w:r>
      </w:hyperlink>
      <w:r>
        <w:t xml:space="preserve"> к Положению Банка России от 17.10.2014 N 437-П "О деятельности по проведению организованных торгов";</w:t>
      </w:r>
    </w:p>
    <w:p w:rsidR="00677CB0" w:rsidRDefault="00677CB0">
      <w:pPr>
        <w:pStyle w:val="ConsPlusNormal"/>
        <w:spacing w:before="220"/>
        <w:ind w:firstLine="540"/>
        <w:jc w:val="both"/>
      </w:pPr>
      <w:r>
        <w:t xml:space="preserve">нарушение организаторами торговли не более чем на шесть месяцев сроков проведения испытательных работ (тестирования) средств проведения торгов (если обязанность по проведению таких работ (тестирования) наступает в период с 01.03.2020 по 01.03.2021), установленных документом (документами), определяющим (определяющими) меры, направленные на снижение </w:t>
      </w:r>
      <w:r>
        <w:lastRenderedPageBreak/>
        <w:t xml:space="preserve">рисков организатора торговли, в том числе рисков, связанных с совмещением деятельности по проведению организованных торгов с иными видами деятельности, в соответствии с </w:t>
      </w:r>
      <w:hyperlink r:id="rId18" w:history="1">
        <w:r>
          <w:rPr>
            <w:color w:val="0000FF"/>
          </w:rPr>
          <w:t>подпунктом 4.1.19 пункта 4.1</w:t>
        </w:r>
      </w:hyperlink>
      <w:r>
        <w:t xml:space="preserve"> Указания Банка России от 07.05.2018 N 4791-У &lt;4&gt;;</w:t>
      </w:r>
    </w:p>
    <w:p w:rsidR="00677CB0" w:rsidRDefault="00677CB0">
      <w:pPr>
        <w:pStyle w:val="ConsPlusNormal"/>
        <w:spacing w:before="220"/>
        <w:ind w:firstLine="540"/>
        <w:jc w:val="both"/>
      </w:pPr>
      <w:r>
        <w:t>--------------------------------</w:t>
      </w:r>
    </w:p>
    <w:p w:rsidR="00677CB0" w:rsidRDefault="00677CB0">
      <w:pPr>
        <w:pStyle w:val="ConsPlusNormal"/>
        <w:spacing w:before="220"/>
        <w:ind w:firstLine="540"/>
        <w:jc w:val="both"/>
      </w:pPr>
      <w:r>
        <w:t xml:space="preserve">&lt;4&gt; </w:t>
      </w:r>
      <w:hyperlink r:id="rId19" w:history="1">
        <w:r>
          <w:rPr>
            <w:color w:val="0000FF"/>
          </w:rPr>
          <w:t>Указание</w:t>
        </w:r>
      </w:hyperlink>
      <w:r>
        <w:t xml:space="preserve"> Банка России от 07.05.2018 N 4791-У "О требованиях к организации организатором торговли системы управления рисками, связанными с организацией торгов, а также с осуществлением операций с собственным имуществом, и к документам организатора торговли, определяющим меры, направленные на снижение указанных рисков и предотвращение конфликта интересов".</w:t>
      </w:r>
    </w:p>
    <w:p w:rsidR="00677CB0" w:rsidRDefault="00677CB0">
      <w:pPr>
        <w:pStyle w:val="ConsPlusNormal"/>
        <w:jc w:val="both"/>
      </w:pPr>
    </w:p>
    <w:p w:rsidR="00677CB0" w:rsidRDefault="00677CB0">
      <w:pPr>
        <w:pStyle w:val="ConsPlusNormal"/>
        <w:ind w:firstLine="540"/>
        <w:jc w:val="both"/>
      </w:pPr>
      <w:r>
        <w:t xml:space="preserve">нарушение клиринговыми организациями не более чем на шесть месяцев сроков проведения тестирования программно-технических средств, используемых для осуществления клиринговой деятельности (если обязанность по проведению такого тестирования наступает в период с 01.03.2020 по 01.03.2021), установленных документом (документами), определяющим (определяющими) меры, направленные на снижение кредитных, операционных и иных рисков, в том числе рисков, связанных с совмещением клиринговой деятельности с иными видами деятельности, в соответствии с </w:t>
      </w:r>
      <w:hyperlink r:id="rId20" w:history="1">
        <w:r>
          <w:rPr>
            <w:color w:val="0000FF"/>
          </w:rPr>
          <w:t>пунктом 2.6</w:t>
        </w:r>
      </w:hyperlink>
      <w:r>
        <w:t xml:space="preserve"> Положения Банка России от 12.03.2015 N 463-П &lt;5&gt;;</w:t>
      </w:r>
    </w:p>
    <w:p w:rsidR="00677CB0" w:rsidRDefault="00677CB0">
      <w:pPr>
        <w:pStyle w:val="ConsPlusNormal"/>
        <w:spacing w:before="220"/>
        <w:ind w:firstLine="540"/>
        <w:jc w:val="both"/>
      </w:pPr>
      <w:r>
        <w:t>--------------------------------</w:t>
      </w:r>
    </w:p>
    <w:p w:rsidR="00677CB0" w:rsidRDefault="00677CB0">
      <w:pPr>
        <w:pStyle w:val="ConsPlusNormal"/>
        <w:spacing w:before="220"/>
        <w:ind w:firstLine="540"/>
        <w:jc w:val="both"/>
      </w:pPr>
      <w:r>
        <w:t xml:space="preserve">&lt;5&gt; </w:t>
      </w:r>
      <w:hyperlink r:id="rId21" w:history="1">
        <w:r>
          <w:rPr>
            <w:color w:val="0000FF"/>
          </w:rPr>
          <w:t>Положение</w:t>
        </w:r>
      </w:hyperlink>
      <w:r>
        <w:t xml:space="preserve"> Банка России от 12.03.2015 N 463-П "О требованиях, направленных на снижение рисков осуществления клиринговой деятельности, и требованиях к документу (документам), определяющему (определяющим) меры, направленные на снижение кредитных, операционных и иных рисков, в том числе рисков, связанных с совмещением клиринговой деятельности с иными видами деятельности".</w:t>
      </w:r>
    </w:p>
    <w:p w:rsidR="00677CB0" w:rsidRDefault="00677CB0">
      <w:pPr>
        <w:pStyle w:val="ConsPlusNormal"/>
        <w:jc w:val="both"/>
      </w:pPr>
    </w:p>
    <w:p w:rsidR="00677CB0" w:rsidRDefault="00677CB0">
      <w:pPr>
        <w:pStyle w:val="ConsPlusNormal"/>
        <w:ind w:firstLine="540"/>
        <w:jc w:val="both"/>
      </w:pPr>
      <w:r>
        <w:t xml:space="preserve">нарушение репозитариями не более чем на шесть месяцев сроков проведения тестирования (в том числе стресс-тестирования) комплексов программно-технических средств (если обязанность по проведению такого тестирования наступает в период с 01.03.2020 по 01.03.2021), установленных правилами управления рисками в соответствии с </w:t>
      </w:r>
      <w:hyperlink r:id="rId22" w:history="1">
        <w:r>
          <w:rPr>
            <w:color w:val="0000FF"/>
          </w:rPr>
          <w:t>подпунктом 3.2.4 пункта 3.2</w:t>
        </w:r>
      </w:hyperlink>
      <w:r>
        <w:t xml:space="preserve"> Указания Банка России от 29.09.2016 N 4144-У "О требованиях к системе управления рисками, связанными с осуществлением репозитарной деятельности, и правилам управления рисками репозитария".</w:t>
      </w:r>
    </w:p>
    <w:p w:rsidR="00677CB0" w:rsidRDefault="00677CB0">
      <w:pPr>
        <w:pStyle w:val="ConsPlusNormal"/>
        <w:spacing w:before="220"/>
        <w:ind w:firstLine="540"/>
        <w:jc w:val="both"/>
      </w:pPr>
      <w:r>
        <w:t>Настоящее информационное письмо подлежит опубликованию в "Вестнике Банка России" и размещению на официальном сайте Банка России в информационно-телекоммуникационной сети "Интернет".</w:t>
      </w:r>
    </w:p>
    <w:p w:rsidR="00677CB0" w:rsidRDefault="00677CB0">
      <w:pPr>
        <w:pStyle w:val="ConsPlusNormal"/>
        <w:jc w:val="both"/>
      </w:pPr>
    </w:p>
    <w:p w:rsidR="00677CB0" w:rsidRDefault="00677CB0">
      <w:pPr>
        <w:pStyle w:val="ConsPlusNormal"/>
        <w:jc w:val="right"/>
      </w:pPr>
      <w:r>
        <w:t>Заместитель Председателя</w:t>
      </w:r>
    </w:p>
    <w:p w:rsidR="00677CB0" w:rsidRDefault="00677CB0">
      <w:pPr>
        <w:pStyle w:val="ConsPlusNormal"/>
        <w:jc w:val="right"/>
      </w:pPr>
      <w:r>
        <w:t>В.В.ЧИСТЮХИН</w:t>
      </w:r>
    </w:p>
    <w:p w:rsidR="00677CB0" w:rsidRDefault="00677CB0">
      <w:pPr>
        <w:pStyle w:val="ConsPlusNormal"/>
        <w:jc w:val="both"/>
      </w:pPr>
    </w:p>
    <w:p w:rsidR="00677CB0" w:rsidRDefault="00677CB0">
      <w:pPr>
        <w:pStyle w:val="ConsPlusNormal"/>
        <w:jc w:val="both"/>
      </w:pPr>
    </w:p>
    <w:p w:rsidR="00677CB0" w:rsidRDefault="00677CB0">
      <w:pPr>
        <w:pStyle w:val="ConsPlusNormal"/>
        <w:pBdr>
          <w:top w:val="single" w:sz="6" w:space="0" w:color="auto"/>
        </w:pBdr>
        <w:spacing w:before="100" w:after="100"/>
        <w:jc w:val="both"/>
        <w:rPr>
          <w:sz w:val="2"/>
          <w:szCs w:val="2"/>
        </w:rPr>
      </w:pPr>
    </w:p>
    <w:p w:rsidR="00BC0923" w:rsidRDefault="00BC0923">
      <w:bookmarkStart w:id="0" w:name="_GoBack"/>
      <w:bookmarkEnd w:id="0"/>
    </w:p>
    <w:sectPr w:rsidR="00BC0923" w:rsidSect="000A6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CB0"/>
    <w:rsid w:val="00677CB0"/>
    <w:rsid w:val="00BC0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AC79-45F0-4828-A2C3-FC1553DF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7C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7C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7CB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AEC517D2D9944F1AB1E16B2EDD3C6512B706D13AA3783245925B63739B800F8BDB4A14B0196BA269F2E6C7EB16w9O" TargetMode="External"/><Relationship Id="rId13" Type="http://schemas.openxmlformats.org/officeDocument/2006/relationships/hyperlink" Target="consultantplus://offline/ref=3FAEC517D2D9944F1AB1E16B2EDD3C6512B706D13AA3783245925B63739B800F99DB1218B11F7CA56CE7B096AD3C1BCB01144EE2455B151E15w5O" TargetMode="External"/><Relationship Id="rId18" Type="http://schemas.openxmlformats.org/officeDocument/2006/relationships/hyperlink" Target="consultantplus://offline/ref=3FAEC517D2D9944F1AB1E16B2EDD3C6512B503D732A3783245925B63739B800F99DB1218B11974A36CE7B096AD3C1BCB01144EE2455B151E15w5O" TargetMode="External"/><Relationship Id="rId3" Type="http://schemas.openxmlformats.org/officeDocument/2006/relationships/webSettings" Target="webSettings.xml"/><Relationship Id="rId21" Type="http://schemas.openxmlformats.org/officeDocument/2006/relationships/hyperlink" Target="consultantplus://offline/ref=3FAEC517D2D9944F1AB1E16B2EDD3C6512B504D73CAB783245925B63739B800F8BDB4A14B0196BA269F2E6C7EB16w9O" TargetMode="External"/><Relationship Id="rId7" Type="http://schemas.openxmlformats.org/officeDocument/2006/relationships/hyperlink" Target="consultantplus://offline/ref=3FAEC517D2D9944F1AB1E16B2EDD3C6512B706D13AA3783245925B63739B800F99DB1218B31873A66BE7B096AD3C1BCB01144EE2455B151E15w5O" TargetMode="External"/><Relationship Id="rId12" Type="http://schemas.openxmlformats.org/officeDocument/2006/relationships/hyperlink" Target="consultantplus://offline/ref=3FAEC517D2D9944F1AB1E16B2EDD3C6512B403D13FAA783245925B63739B800F99DB1210B61221F329B9E9C6E97716CE1F084EE415wBO" TargetMode="External"/><Relationship Id="rId17" Type="http://schemas.openxmlformats.org/officeDocument/2006/relationships/hyperlink" Target="consultantplus://offline/ref=3FAEC517D2D9944F1AB1E16B2EDD3C6513BC06D53AA6783245925B63739B800F99DB1218B11977A665E7B096AD3C1BCB01144EE2455B151E15w5O" TargetMode="External"/><Relationship Id="rId2" Type="http://schemas.openxmlformats.org/officeDocument/2006/relationships/settings" Target="settings.xml"/><Relationship Id="rId16" Type="http://schemas.openxmlformats.org/officeDocument/2006/relationships/hyperlink" Target="consultantplus://offline/ref=3FAEC517D2D9944F1AB1E16B2EDD3C6512B706D13AA3783245925B63739B800F99DB1218B51870A265E7B096AD3C1BCB01144EE2455B151E15w5O" TargetMode="External"/><Relationship Id="rId20" Type="http://schemas.openxmlformats.org/officeDocument/2006/relationships/hyperlink" Target="consultantplus://offline/ref=3FAEC517D2D9944F1AB1E16B2EDD3C6512B504D73CAB783245925B63739B800F99DB1218B11975A169E7B096AD3C1BCB01144EE2455B151E15w5O" TargetMode="External"/><Relationship Id="rId1" Type="http://schemas.openxmlformats.org/officeDocument/2006/relationships/styles" Target="styles.xml"/><Relationship Id="rId6" Type="http://schemas.openxmlformats.org/officeDocument/2006/relationships/hyperlink" Target="consultantplus://offline/ref=3FAEC517D2D9944F1AB1E16B2EDD3C6513B706DE32A3783245925B63739B800F8BDB4A14B0196BA269F2E6C7EB16w9O" TargetMode="External"/><Relationship Id="rId11" Type="http://schemas.openxmlformats.org/officeDocument/2006/relationships/hyperlink" Target="consultantplus://offline/ref=3FAEC517D2D9944F1AB1E16B2EDD3C6512B403D13FAA783245925B63739B800F99DB1210B71221F329B9E9C6E97716CE1F084EE415wBO" TargetMode="External"/><Relationship Id="rId24" Type="http://schemas.openxmlformats.org/officeDocument/2006/relationships/theme" Target="theme/theme1.xml"/><Relationship Id="rId5" Type="http://schemas.openxmlformats.org/officeDocument/2006/relationships/hyperlink" Target="consultantplus://offline/ref=3FAEC517D2D9944F1AB1E16B2EDD3C6518BD06DE33A825384DCB57617494DF189E921E19B11977AB66B8B583BC6417CA1F0A4AF859591711wCO" TargetMode="External"/><Relationship Id="rId15" Type="http://schemas.openxmlformats.org/officeDocument/2006/relationships/hyperlink" Target="consultantplus://offline/ref=3FAEC517D2D9944F1AB1E16B2EDD3C6510B005D53BA7783245925B63739B800F99DB1218B11974A26EE7B096AD3C1BCB01144EE2455B151E15w5O" TargetMode="External"/><Relationship Id="rId23" Type="http://schemas.openxmlformats.org/officeDocument/2006/relationships/fontTable" Target="fontTable.xml"/><Relationship Id="rId10" Type="http://schemas.openxmlformats.org/officeDocument/2006/relationships/hyperlink" Target="consultantplus://offline/ref=3FAEC517D2D9944F1AB1E16B2EDD3C6512B706D13AA3783245925B63739B800F99DB1218B3187CA368E7B096AD3C1BCB01144EE2455B151E15w5O" TargetMode="External"/><Relationship Id="rId19" Type="http://schemas.openxmlformats.org/officeDocument/2006/relationships/hyperlink" Target="consultantplus://offline/ref=3FAEC517D2D9944F1AB1E16B2EDD3C6512B503D732A3783245925B63739B800F8BDB4A14B0196BA269F2E6C7EB16w9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FAEC517D2D9944F1AB1E16B2EDD3C6513BD01D73EA3783245925B63739B800F8BDB4A14B0196BA269F2E6C7EB16w9O" TargetMode="External"/><Relationship Id="rId14" Type="http://schemas.openxmlformats.org/officeDocument/2006/relationships/hyperlink" Target="consultantplus://offline/ref=3FAEC517D2D9944F1AB1E16B2EDD3C6512B403D13FAA783245925B63739B800F99DB1218B11975A26CE7B096AD3C1BCB01144EE2455B151E15w5O" TargetMode="External"/><Relationship Id="rId22" Type="http://schemas.openxmlformats.org/officeDocument/2006/relationships/hyperlink" Target="consultantplus://offline/ref=3FAEC517D2D9944F1AB1E16B2EDD3C6513B502D23AAB783245925B63739B800F99DB1218B11975A66CE7B096AD3C1BCB01144EE2455B151E15w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1679</Words>
  <Characters>9572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2020-04-10T14:48:00Z</dcterms:created>
  <dcterms:modified xsi:type="dcterms:W3CDTF">2020-04-10T14:49:00Z</dcterms:modified>
</cp:coreProperties>
</file>