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43B" w:rsidRDefault="00CC343B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C343B" w:rsidRDefault="00CC343B">
      <w:pPr>
        <w:pStyle w:val="ConsPlusNormal"/>
        <w:jc w:val="both"/>
        <w:outlineLvl w:val="0"/>
      </w:pPr>
    </w:p>
    <w:p w:rsidR="00CC343B" w:rsidRDefault="00CC343B">
      <w:pPr>
        <w:pStyle w:val="ConsPlusTitle"/>
        <w:jc w:val="center"/>
      </w:pPr>
      <w:r>
        <w:t>ФЕДЕРАЛЬНАЯ СЛУЖБА ПО НАДЗОРУ В СФЕРЕ ЗАЩИТЫ</w:t>
      </w:r>
    </w:p>
    <w:p w:rsidR="00CC343B" w:rsidRDefault="00CC343B">
      <w:pPr>
        <w:pStyle w:val="ConsPlusTitle"/>
        <w:jc w:val="center"/>
      </w:pPr>
      <w:r>
        <w:t>ПРАВ ПОТРЕБИТЕЛЕЙ И БЛАГОПОЛУЧИЯ ЧЕЛОВЕКА</w:t>
      </w:r>
    </w:p>
    <w:p w:rsidR="00CC343B" w:rsidRDefault="00CC343B">
      <w:pPr>
        <w:pStyle w:val="ConsPlusTitle"/>
        <w:jc w:val="center"/>
      </w:pPr>
    </w:p>
    <w:p w:rsidR="00CC343B" w:rsidRDefault="00CC343B">
      <w:pPr>
        <w:pStyle w:val="ConsPlusTitle"/>
        <w:jc w:val="center"/>
      </w:pPr>
      <w:r>
        <w:t>ИНФОРМАЦИЯ</w:t>
      </w:r>
    </w:p>
    <w:p w:rsidR="00CC343B" w:rsidRDefault="00CC343B">
      <w:pPr>
        <w:pStyle w:val="ConsPlusTitle"/>
        <w:jc w:val="center"/>
      </w:pPr>
    </w:p>
    <w:p w:rsidR="00CC343B" w:rsidRDefault="00CC343B">
      <w:pPr>
        <w:pStyle w:val="ConsPlusTitle"/>
        <w:jc w:val="center"/>
      </w:pPr>
      <w:r>
        <w:t>ПЕРСИСТЕНЦИЯ COVID-19:</w:t>
      </w:r>
    </w:p>
    <w:p w:rsidR="00CC343B" w:rsidRDefault="00CC343B">
      <w:pPr>
        <w:pStyle w:val="ConsPlusTitle"/>
        <w:jc w:val="center"/>
      </w:pPr>
      <w:r>
        <w:t>СПОСОБЫ ПЕРЕДАЧИ И МЕРЫ ПРЕДОСТОРОЖНОСТИ</w:t>
      </w:r>
    </w:p>
    <w:p w:rsidR="00CC343B" w:rsidRDefault="00CC343B">
      <w:pPr>
        <w:pStyle w:val="ConsPlusNormal"/>
        <w:ind w:firstLine="540"/>
        <w:jc w:val="both"/>
      </w:pPr>
    </w:p>
    <w:p w:rsidR="00CC343B" w:rsidRDefault="00CC343B">
      <w:pPr>
        <w:pStyle w:val="ConsPlusTitle"/>
        <w:ind w:firstLine="540"/>
        <w:jc w:val="both"/>
        <w:outlineLvl w:val="0"/>
      </w:pPr>
      <w:r>
        <w:t>Анализ актуальных научных статей и рекомендаций ВОЗ</w:t>
      </w:r>
    </w:p>
    <w:p w:rsidR="00CC343B" w:rsidRDefault="00CC343B">
      <w:pPr>
        <w:pStyle w:val="ConsPlusNormal"/>
        <w:ind w:firstLine="540"/>
        <w:jc w:val="both"/>
      </w:pPr>
    </w:p>
    <w:p w:rsidR="00CC343B" w:rsidRDefault="00CC343B">
      <w:pPr>
        <w:pStyle w:val="ConsPlusTitle"/>
        <w:ind w:firstLine="540"/>
        <w:jc w:val="both"/>
        <w:outlineLvl w:val="1"/>
      </w:pPr>
      <w:r>
        <w:t xml:space="preserve">Способы </w:t>
      </w:r>
      <w:hyperlink r:id="rId5" w:history="1">
        <w:r>
          <w:rPr>
            <w:color w:val="0000FF"/>
          </w:rPr>
          <w:t>передачи</w:t>
        </w:r>
      </w:hyperlink>
      <w:r>
        <w:t xml:space="preserve"> вируса COVID-19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 xml:space="preserve">Респираторные инфекции могут передаваться через капли разных размеров: когда частицы капель имеют </w:t>
      </w:r>
      <w:proofErr w:type="gramStart"/>
      <w:r>
        <w:t>диаметр &gt;</w:t>
      </w:r>
      <w:proofErr w:type="gramEnd"/>
      <w:r>
        <w:t xml:space="preserve"> 5 - 10 мкм, их называют респираторными каплями, а когда диаметр &lt; 5 мкм, они называются воздушно-капельная взвесь инфекционных частиц. Согласно современным данным, вирус COVID-19 в основном передается между людьми через респираторные капли и контактным путем. При анализе 75 465 случаев COVID-19 в Китае не сообщалось о воздушно-капельной передаче.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>Передача через капли происходит, когда человек находится в тесном контакте (в пределах 1 м) с кем-то, у кого есть респираторные симптомы (например, кашель или чихание) и, следовательно, есть риск подвергнуть воздействию слизистые оболочки (рот и нос) или конъюнктивы (глаза) потенциально инфекционных дыхательных капель. Передача может также происходить через предметы окружающей среды в непосредственной близости от зараженного человека. Таким образом, передача вируса COVID-19 может происходить при прямом контакте с зараженными людьми и косвенном контакте с поверхностями в непосредственной близости или с объектами, используемыми для зараженного человека (например, стетоскоп или термометр).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 xml:space="preserve">Передача по воздуху отличается от передачи с каплями, поскольку она связана с присутствием микробов в ядрах капель, которые, как правило, считаются частицами диаметром </w:t>
      </w:r>
      <w:proofErr w:type="gramStart"/>
      <w:r>
        <w:t>&lt; 5</w:t>
      </w:r>
      <w:proofErr w:type="gramEnd"/>
      <w:r>
        <w:t xml:space="preserve"> мкм, и могут оставаться в воздухе в течение длительных периодов времени и передаваться другим на расстояния, превышающие 1 м.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>Воздушно-капельная передача возможна при определенных обстоятельствах и условиях, в которых выполняются процедуры или поддерживающие манипуляции с генерацией аэрозолей; то есть эндотрахеальная интубация, бронхоскопия, открытое всасывание, введение препарата с помощью небулайзера (ингалятора), ручная вентиляция перед интубацией, поворот пациента в положение лежа, отсоединение пациента от аппарата ИВЛ, неинвазивная вентиляция с положительным давлением, трахеостомия и сердечно-легочная реанимация.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>Одновременно с этим, учитывая, что капли слишком тяжелы, чтобы находиться в воздухе, они оседают на объектах и поверхностях, окружающих человека. Люди заражаются COVID-19, касаясь этих загрязненных объектов или поверхностей, а затем прикасаясь к своим глазам, носу или рту.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>Есть некоторые доказательства того, что при COVID-19 может иметь место кишечная инфекция, и вирус может присутствовать в фекалиях. Однако до настоящего времени в рамках только одного исследования были получены культуры вируса COVID-19 из одного образца стула. До настоящего времени не было сообщений о фекально-оральной передаче вируса COVID-19.</w:t>
      </w:r>
    </w:p>
    <w:p w:rsidR="00CC343B" w:rsidRDefault="00CC343B">
      <w:pPr>
        <w:pStyle w:val="ConsPlusNormal"/>
        <w:ind w:firstLine="540"/>
        <w:jc w:val="both"/>
      </w:pPr>
    </w:p>
    <w:p w:rsidR="00CC343B" w:rsidRDefault="00CC343B">
      <w:pPr>
        <w:pStyle w:val="ConsPlusTitle"/>
        <w:ind w:firstLine="540"/>
        <w:jc w:val="both"/>
        <w:outlineLvl w:val="1"/>
      </w:pPr>
      <w:r>
        <w:t>Итоги последних исследований проб воздуха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 xml:space="preserve">На сегодняшний день в некоторых научных публикациях содержится информация, </w:t>
      </w:r>
      <w:r>
        <w:lastRenderedPageBreak/>
        <w:t>касающаяся возможного обнаружения COVID-19 в воздухе, в связи с чем, некоторые новостные агентства предположили, что воздушно-капельный путь передачи инфекции также может иметь место. Подобного рода сообщения необходимо интерпретировать с большой осторожностью.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>В статье, опубликованной недавно в Медицинском журнале Новой Англии исследователи оценили персистенцию вируса COVID-19. В указанном экспериментальном исследовании аэрозоли генерировались с использованием трехструйного распылителя Коллисона и подавались в барабан Голдберга в контролируемых лабораторных условиях. Это мощная машина, которая не отражает нормальные условия кашля человека. Кроме того, обнаружение вируса COVID-19 в аэрозольных частицах до 3 часов не отражает клинических условий, в которых выполняются процедуры генерации аэрозоля, то есть это была экспериментально индуцированная процедура генерации аэрозоля.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>Так, согласно проведенным исследованиям, в учреждениях, куда поступали пациенты с симптомами COVID-19, в образцах воздуха не было обнаружено РНК COVID-19.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>ВОЗ известно о других исследованиях, в которых оценивали присутствие РНК COVID-19 в образцах воздуха, но которые еще не опубликованы в рецензируемых журналах. Важно отметить, что обнаружение РНК в пробах окружающей среды на основе ПЦР анализа не указывает наличие жизнеспособного вируса, который может передаваться. Необходимы дальнейшие исследования, чтобы определить, возможно ли обнаружить вирус COVID-19 в пробах воздуха из комнат пациентов, где не проводится никаких процедур или поддерживающих манипуляций с генерацией аэрозоля. По мере появления доказательств важно знать, найден ли жизнеспособный вирус и какую роль это может играть в передаче инфекции.</w:t>
      </w:r>
    </w:p>
    <w:p w:rsidR="00CC343B" w:rsidRDefault="00CC343B">
      <w:pPr>
        <w:pStyle w:val="ConsPlusNormal"/>
        <w:ind w:firstLine="540"/>
        <w:jc w:val="both"/>
      </w:pPr>
    </w:p>
    <w:p w:rsidR="00CC343B" w:rsidRDefault="00CC343B">
      <w:pPr>
        <w:pStyle w:val="ConsPlusTitle"/>
        <w:ind w:firstLine="540"/>
        <w:jc w:val="both"/>
        <w:outlineLvl w:val="1"/>
      </w:pPr>
      <w:r>
        <w:t>Выводы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>На основании имеющихся данных, в том числе последних публикаций, упомянутых выше, ВОЗ продолжает рекомендовать меры предосторожности в отношении капельной и контактной передачи для людей, ухаживающих за пациентами с COVID-19. ВОЗ продолжает рекомендовать меры предосторожности в отношении воздушно-капельной передачи для обстоятельств и условий, в которых проводятся вышеупомянутые процедуры, в ходе которых генерируются аэрозоли. Эти рекомендации соответствуют другим национальным и международным руководствам, в том числе разработанным Европейским обществом реаниматологии и Обществом интенсивной терапии и теми, что в настоящее время используются в Австралии, Канаде и Великобритании.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>В то же время другие страны и организации, в том числе Центры по контролю и профилактике заболеваний США и Европейский центр по профилактике и контролю заболеваний, рекомендуют меры предосторожности в отношении воздушно-капельной передачи для любой ситуации, связанной с уходом за пациентами с COVID-19, и рассматривают возможность использования медицинской маски в качестве приемлемого варианта в случае нехватки респираторов (N95, FFP2 или FFP3).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>В текущих рекомендациях ВОЗ подчеркивается важность рационального и надлежащего использования всех СИЗ, а не только масок, что требует правильного и строгого поведения со стороны работников здравоохранения, особенно в отношении процедур съема СИЗ и практики гигиены рук. ВОЗ также рекомендует проводить обучение персонала по этим рекомендациям, а также осуществлять адекватные закупки и обеспечивать наличие необходимых СИЗ и других предметов снабжения и оборудования. Наконец, ВОЗ продолжает подчеркивать исключительную важность частой дезинфекции рук, дыхательного этикета, очистки и дезинфекции окружающего пространства, а также важность поддержания физической дистанции и предотвращения близкого, незащищенного контакта с людьми с лихорадкой или респираторными симптомами.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t>ВОЗ тщательно отслеживает появляющиеся фактические данные по этой актуальной теме и будет обновлять научные сообщения по мере поступления дополнительной информации.</w:t>
      </w:r>
    </w:p>
    <w:p w:rsidR="00CC343B" w:rsidRDefault="00CC343B">
      <w:pPr>
        <w:pStyle w:val="ConsPlusNormal"/>
        <w:spacing w:before="220"/>
        <w:ind w:firstLine="540"/>
        <w:jc w:val="both"/>
      </w:pPr>
      <w:r>
        <w:lastRenderedPageBreak/>
        <w:t>Материал подготовлен на основе: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>
        <w:t xml:space="preserve">1. World Health Organization. </w:t>
      </w:r>
      <w:r w:rsidRPr="00CC343B">
        <w:rPr>
          <w:lang w:val="en-US"/>
        </w:rPr>
        <w:t>Infection prevention and control of epidemic- and pandemic-prone acute respiratory infections in health care. Geneva: World Health Organization; 2014 Available from: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https://apps.who.int/iris/bitstream/handle/10665/112656/9789241507134_eng.pdf?sequence=1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2. Liu J, Liao X, Qian S et al. Community transmission of severe acute respiratory syndrome coronavirus 2, Shenzhen, China, 2020. Emerg Infect Dis 2020 doi.org/10.3201/eid2606.200239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3. Chan J, Yuan S, Kok K et al. A familial cluster of pneumonia associated with the 2019 novel coronavirus indicating person-to-person transmission: a study of a family cluster. Lancet 2020 doi: 10.1016/S0140-6736(20) 30154-9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4. Li Q, Guan X, Wu P, et al. Early transmission dynamics in Wuhan, China, of novel coronavirus-infected pneumonia. N Engl J Med 2020; doi:10.1056/NEJMoa2001316.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5. Huang C, Wang Y, Li X, et al. Clinical features of patients infected with 2019 novel coronavirus in Wuhan, China. Lancet 2020; 395: 497-506.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6. Burke RM, Midgley CM, Dratch A, Fenstersheib M, Haupt T, Holshue M,et al. Active monitoring of persons exposed to patients with confirmed COVID-19 - United States, January-February 2020. MMWR Morb Mortal Wkly Rep. 2020 doi: 10.15585/mmwr.mm6909e1external icon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7. World Health Organization. Report of the WHO-China Joint Mission on Coronavirus Disease 2019 (COVID-19) 16-24 February 2020 [Internet]. Geneva: World Health Organization; 2020 Available from: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https://www.who.int/docs/default- source/coronaviruse/who-china-joint-mission-on-covid-19-final-report.pdf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8. Ong SW, Tan YK, Chia PY, Lee TH, Ng OT, Wong MS, et al. Air, surface environmental, and personal protective equipment contamination by severe acute respiratory syndrome coronavirus 2 (SARS-CoV-2) from a symptomatic patient. JAMA. 2020 Mar 4 [Epub ahead of print].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9. Zhang Y, Chen C, Zhu S et al. [Isolation of 2019-nCoV from a stool specimen of a laboratory-confirmed case of the coronavirus disease 2019 (COVID-19)]. China CDC Weekly. 2020;2(8):123-4. (In Chinese)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10. van Doremalen N, Morris D, Bushmaker T et al. Aerosol and Surface Stability of SARS-CoV-2 as compared with SARS-CoV-1. New Engl J Med 2020 doi: 10.1056/NEJMc2004973 https://www.nejm.org/doi/full/10.1056/NEJMc2004973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11. Cheng V, Wong S-C, Chen J, Yip C, Chuang V, Tsang O, et al. Escalating infection control response to the rapidly evolving epidemiology of the Coronavirus disease 2019 (COVID-19) due to SARS-CoV-2 in Hong Kong. Infect Control Hosp Epidemiol. 2020 Mar 5 [Epub ahead of print]. https://www.unboundmedicine.com/medline/citation/32131908/Escalating_infection_control_response_to_the_rapidly_evolving_epidemiology_of_the_Coronavirus_disease_2019__COVID_19__due_to_SARS_CoV_2_in_Hong_Kong_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12. Ong SW, Tan YK, Chia PY, Lee TH, Ng OT, Wong MS, et al. Air, surface environmental, and personal protective equipment contamination by severe acute respiratory syndrome coronavirus 2 (SARS-CoV-2) from a symptomatic patient. JAMA. 2020 Modes of transmission of virus causing COVID-19: implications for IPC precaution recommendations: Scientific brief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13. WHO Infection Prevention and Control Guidance for COVID-19 available at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https://www.who.int/emergencies/diseases/novel-coronavirus-2019/technical-</w:t>
      </w:r>
      <w:r w:rsidRPr="00CC343B">
        <w:rPr>
          <w:lang w:val="en-US"/>
        </w:rPr>
        <w:lastRenderedPageBreak/>
        <w:t>guidance/infection-prevention-andcontrol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14. Surviving Sepsis Campaign: Guidelines on the Management of Critically Ill Adults with Coronavirus Disease 2019 (COVID-19). Intensive Care Medicine DOI: 10.1007/s00134-020-06022-5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https://www.sccm.org/SurvivingSepsisCampaign/Guidelines/COVID-19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15. Interim guidelines for the clinical management of COVID-19 in adults Australasian Society for Infectious Diseases Limited (ASID) https://www.asid.net.au/documents/item/1873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16. Coronavirus disease (COVID-19): For health professionals. https://www.canada.ca/en/publichealth/services/diseases/2019-novel-coronavirus-infection/health-professionals.html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17. Guidance on infection prevention and control for COVID-19 https://www.gov.uk/government/publications/wuhannovel-coronavirus-infection-prevention-and-control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18. Interim Infection Prevention and Control Recommendations for Patients with Suspected or Confirmed Coronavirus Disease 2019 (COVID-19) in Healthcare Settings. https://www.cdc.gov/coronavirus/2019-ncov/infectioncontrol/control-recommendations.html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19. Infection prevention and control for COVID-19 in healthcare settings https://www.ecdc.europa.eu/en/publicationsdata/infection-prevention-and-control-covid-19-healthcare-settings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20. Rational use of PPE for COVID-19. https://apps.who.int/iris/bitstream/handle/10665/331498/WHO-2019-nCoVIPCPPE_use-2020.2-eng.pdf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21. Risk factors of Healthcare Workers with Corona Virus Disease 2019: A Retrospective Cohort Study in a Designated Hospital of Wuhan in China. https://academic.oup.com/cid/advancearticle/doi/10.1093/cid/ciaa287/5808788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22. Infection Prevention and Control (IPC) for Novel Coronavirus (COVID-19) Course.</w:t>
      </w:r>
    </w:p>
    <w:p w:rsidR="00CC343B" w:rsidRPr="00CC343B" w:rsidRDefault="00CC343B">
      <w:pPr>
        <w:pStyle w:val="ConsPlusNormal"/>
        <w:spacing w:before="220"/>
        <w:ind w:firstLine="540"/>
        <w:jc w:val="both"/>
        <w:rPr>
          <w:lang w:val="en-US"/>
        </w:rPr>
      </w:pPr>
      <w:r w:rsidRPr="00CC343B">
        <w:rPr>
          <w:lang w:val="en-US"/>
        </w:rPr>
        <w:t>https://openwho.org/courses/COVID-19-IPC-EN</w:t>
      </w:r>
    </w:p>
    <w:p w:rsidR="00CC343B" w:rsidRPr="00CC343B" w:rsidRDefault="00CC343B">
      <w:pPr>
        <w:pStyle w:val="ConsPlusNormal"/>
        <w:jc w:val="both"/>
        <w:rPr>
          <w:lang w:val="en-US"/>
        </w:rPr>
      </w:pPr>
    </w:p>
    <w:p w:rsidR="00CC343B" w:rsidRPr="00CC343B" w:rsidRDefault="00CC343B">
      <w:pPr>
        <w:pStyle w:val="ConsPlusNormal"/>
        <w:jc w:val="both"/>
        <w:rPr>
          <w:lang w:val="en-US"/>
        </w:rPr>
      </w:pPr>
    </w:p>
    <w:p w:rsidR="00CC343B" w:rsidRPr="00CC343B" w:rsidRDefault="00CC34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  <w:lang w:val="en-US"/>
        </w:rPr>
      </w:pPr>
    </w:p>
    <w:p w:rsidR="000E03B3" w:rsidRPr="00CC343B" w:rsidRDefault="000E03B3">
      <w:pPr>
        <w:rPr>
          <w:lang w:val="en-US"/>
        </w:rPr>
      </w:pPr>
      <w:bookmarkStart w:id="0" w:name="_GoBack"/>
      <w:bookmarkEnd w:id="0"/>
    </w:p>
    <w:sectPr w:rsidR="000E03B3" w:rsidRPr="00CC343B" w:rsidSect="00CB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3B"/>
    <w:rsid w:val="000E03B3"/>
    <w:rsid w:val="00CC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C6F98C-5BC5-432C-A35D-A56D4091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3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34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C34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52B364C2C5C517EFE773D79B094C523B0D332771848483F6246973BD5B4301B1A4585E235FDAD58E6EA21981A9246100318B39569486CBCQC05P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1787</Words>
  <Characters>10187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2020-04-09T15:52:00Z</dcterms:created>
  <dcterms:modified xsi:type="dcterms:W3CDTF">2020-04-09T15:53:00Z</dcterms:modified>
</cp:coreProperties>
</file>